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C" w:rsidRDefault="00F338AB">
      <w:pPr>
        <w:suppressAutoHyphens/>
        <w:jc w:val="center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Соглашение о сотрудничестве № ____</w:t>
      </w:r>
    </w:p>
    <w:p w:rsidR="00A9724C" w:rsidRDefault="00A9724C">
      <w:pPr>
        <w:suppressAutoHyphens/>
        <w:ind w:firstLine="567"/>
        <w:jc w:val="center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г. Орел                                                                                                 ___ ____________ _____ </w:t>
      </w:r>
      <w:proofErr w:type="gramStart"/>
      <w:r>
        <w:rPr>
          <w:color w:val="000000" w:themeColor="text1"/>
          <w:sz w:val="22"/>
          <w:szCs w:val="22"/>
          <w:lang w:eastAsia="zh-CN"/>
        </w:rPr>
        <w:t>г</w:t>
      </w:r>
      <w:proofErr w:type="gramEnd"/>
      <w:r>
        <w:rPr>
          <w:color w:val="000000" w:themeColor="text1"/>
          <w:sz w:val="22"/>
          <w:szCs w:val="22"/>
          <w:lang w:eastAsia="zh-CN"/>
        </w:rPr>
        <w:t>.</w:t>
      </w:r>
    </w:p>
    <w:p w:rsidR="00A9724C" w:rsidRDefault="00A9724C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both"/>
      </w:pPr>
      <w:r>
        <w:rPr>
          <w:color w:val="000000" w:themeColor="text1"/>
          <w:sz w:val="22"/>
          <w:szCs w:val="22"/>
          <w:lang w:eastAsia="zh-CN"/>
        </w:rPr>
        <w:t xml:space="preserve">               </w:t>
      </w:r>
      <w:r>
        <w:rPr>
          <w:color w:val="000000" w:themeColor="text1"/>
          <w:sz w:val="22"/>
          <w:szCs w:val="22"/>
          <w:lang w:eastAsia="zh-CN"/>
        </w:rPr>
        <w:t xml:space="preserve">Бюджетное учреждение Орловкой области «Региональный центр оценки качества образования», именуемое в дальнейшем «Центр», в лице директора Карлова Алексея Ивановича, действующего на основании Устава, </w:t>
      </w:r>
      <w:r>
        <w:rPr>
          <w:rFonts w:ascii="Times New Roman;Arial" w:hAnsi="Times New Roman;Arial"/>
          <w:b/>
          <w:color w:val="000000" w:themeColor="text1"/>
          <w:sz w:val="22"/>
          <w:szCs w:val="22"/>
          <w:lang w:eastAsia="zh-CN"/>
        </w:rPr>
        <w:t>______________________________________________</w:t>
      </w:r>
      <w:r>
        <w:rPr>
          <w:color w:val="000000" w:themeColor="text1"/>
          <w:sz w:val="22"/>
          <w:szCs w:val="22"/>
          <w:lang w:eastAsia="zh-CN"/>
        </w:rPr>
        <w:t xml:space="preserve">, именуемое в дальнейшем «Управление/Отдел», в лице </w:t>
      </w:r>
      <w:r>
        <w:rPr>
          <w:rStyle w:val="a5"/>
          <w:i w:val="0"/>
          <w:iCs w:val="0"/>
          <w:color w:val="000000" w:themeColor="text1"/>
          <w:sz w:val="22"/>
          <w:szCs w:val="22"/>
          <w:lang w:eastAsia="zh-CN"/>
        </w:rPr>
        <w:t>______________________________________________________________</w:t>
      </w:r>
      <w:r>
        <w:rPr>
          <w:color w:val="000000" w:themeColor="text1"/>
          <w:sz w:val="22"/>
          <w:szCs w:val="22"/>
          <w:lang w:eastAsia="zh-CN"/>
        </w:rPr>
        <w:t>, действующего на основании ______________________________,_____________________________________________________,</w:t>
      </w:r>
      <w:r>
        <w:rPr>
          <w:color w:val="000000" w:themeColor="text1"/>
          <w:sz w:val="22"/>
          <w:szCs w:val="22"/>
          <w:lang w:eastAsia="zh-CN"/>
        </w:rPr>
        <w:t xml:space="preserve"> именуемое в дальнейшем «Образовательная организация», в лице ________________________________________________</w:t>
      </w:r>
      <w:r>
        <w:rPr>
          <w:color w:val="000000" w:themeColor="text1"/>
          <w:sz w:val="22"/>
          <w:szCs w:val="22"/>
          <w:lang w:eastAsia="zh-CN"/>
        </w:rPr>
        <w:t>, действующего на основании _________________</w:t>
      </w:r>
      <w:r>
        <w:rPr>
          <w:color w:val="000000" w:themeColor="text1"/>
          <w:sz w:val="22"/>
          <w:szCs w:val="22"/>
          <w:lang w:eastAsia="zh-CN"/>
        </w:rPr>
        <w:t>, вместе именуемые «Стороны», заключили настоящ</w:t>
      </w:r>
      <w:r>
        <w:rPr>
          <w:color w:val="000000" w:themeColor="text1"/>
          <w:sz w:val="22"/>
          <w:szCs w:val="22"/>
          <w:lang w:eastAsia="zh-CN"/>
        </w:rPr>
        <w:t xml:space="preserve">ее Соглашение о </w:t>
      </w:r>
      <w:proofErr w:type="gramStart"/>
      <w:r>
        <w:rPr>
          <w:color w:val="000000" w:themeColor="text1"/>
          <w:sz w:val="22"/>
          <w:szCs w:val="22"/>
          <w:lang w:eastAsia="zh-CN"/>
        </w:rPr>
        <w:t>сотрудничестве</w:t>
      </w:r>
      <w:proofErr w:type="gramEnd"/>
      <w:r>
        <w:rPr>
          <w:color w:val="000000" w:themeColor="text1"/>
          <w:sz w:val="22"/>
          <w:szCs w:val="22"/>
          <w:lang w:eastAsia="zh-CN"/>
        </w:rPr>
        <w:t xml:space="preserve"> о нижеследующем:</w:t>
      </w:r>
    </w:p>
    <w:p w:rsidR="00A9724C" w:rsidRDefault="00A9724C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1. Предмет договора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1.1. Стороны настоящего Соглашения договорились о совместном долгосрочном сотрудничестве в области внедрения в деятельность Управления/Отдела и Образовательной организации информационной </w:t>
      </w:r>
      <w:r>
        <w:rPr>
          <w:color w:val="000000" w:themeColor="text1"/>
          <w:sz w:val="22"/>
          <w:szCs w:val="22"/>
          <w:lang w:eastAsia="zh-CN"/>
        </w:rPr>
        <w:t>системы образовательных услуг «Виртуальная школа» (далее – «Системы») и организации работ по обеспечению её надлежащего функционирования.</w:t>
      </w:r>
    </w:p>
    <w:p w:rsidR="00A9724C" w:rsidRDefault="00A9724C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2. Цели и задачи Соглашения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2.1. Целями настоящего Соглашения являются: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2.1.1. Обеспечение нормативно-правового, про</w:t>
      </w:r>
      <w:r>
        <w:rPr>
          <w:color w:val="000000" w:themeColor="text1"/>
          <w:sz w:val="22"/>
          <w:szCs w:val="22"/>
          <w:lang w:eastAsia="zh-CN"/>
        </w:rPr>
        <w:t>граммно-технологического и методического сопровождения образовательного процесса, внедрения в деятельность Управления/Отдела и Образовательной организации Системы и её дальнейшей работы.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2.1.2. Организация мероприятий по повышению профессиональной компетен</w:t>
      </w:r>
      <w:r>
        <w:rPr>
          <w:color w:val="000000" w:themeColor="text1"/>
          <w:sz w:val="22"/>
          <w:szCs w:val="22"/>
          <w:lang w:eastAsia="zh-CN"/>
        </w:rPr>
        <w:t>ции сотрудников Управления/Отдела и Образовательной организации по вопросам внедрения Системы и её дальнейшего использования.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2.1.3. Разработка методического комплекта и методических рекомендаций по организаци</w:t>
      </w:r>
      <w:bookmarkStart w:id="0" w:name="_GoBack"/>
      <w:bookmarkEnd w:id="0"/>
      <w:r>
        <w:rPr>
          <w:color w:val="000000" w:themeColor="text1"/>
          <w:sz w:val="22"/>
          <w:szCs w:val="22"/>
          <w:lang w:eastAsia="zh-CN"/>
        </w:rPr>
        <w:t>и внедрения Системы.</w:t>
      </w:r>
    </w:p>
    <w:p w:rsidR="00A9724C" w:rsidRDefault="00F338AB">
      <w:pPr>
        <w:suppressAutoHyphens/>
        <w:ind w:firstLine="567"/>
        <w:jc w:val="both"/>
        <w:rPr>
          <w:b/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2.2. Стороны осуществляют </w:t>
      </w:r>
      <w:r>
        <w:rPr>
          <w:color w:val="000000" w:themeColor="text1"/>
          <w:sz w:val="22"/>
          <w:szCs w:val="22"/>
          <w:lang w:eastAsia="zh-CN"/>
        </w:rPr>
        <w:t xml:space="preserve">объединение организационных, интеллектуальных, кадровых </w:t>
      </w:r>
      <w:r>
        <w:rPr>
          <w:color w:val="000000" w:themeColor="text1"/>
          <w:sz w:val="22"/>
          <w:szCs w:val="22"/>
          <w:lang w:eastAsia="zh-CN"/>
        </w:rPr>
        <w:br/>
        <w:t>и иных, необходимых для достижения поставленных целей и задач, ресурсов для внедрения Системы в деятельность Управления/Отдела и Образовательной организации. Обеспечение деятельности осуществляется с</w:t>
      </w:r>
      <w:r>
        <w:rPr>
          <w:color w:val="000000" w:themeColor="text1"/>
          <w:sz w:val="22"/>
          <w:szCs w:val="22"/>
          <w:lang w:eastAsia="zh-CN"/>
        </w:rPr>
        <w:t xml:space="preserve">овместными усилиями Сторон. </w:t>
      </w:r>
    </w:p>
    <w:p w:rsidR="00A9724C" w:rsidRDefault="00A9724C">
      <w:pPr>
        <w:suppressAutoHyphens/>
        <w:ind w:firstLine="567"/>
        <w:jc w:val="center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 xml:space="preserve">3. Права и обязанности Сторон 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3.1. Центр обязуется: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3.1.1. Предоставить Управлению/Отделу и Образовательной организации доступ к Системе и обеспечить ее надлежащую работу. Доступ к системе предоставляется в режиме онлайн-сер</w:t>
      </w:r>
      <w:r>
        <w:rPr>
          <w:color w:val="000000" w:themeColor="text1"/>
          <w:sz w:val="22"/>
          <w:szCs w:val="22"/>
          <w:lang w:eastAsia="zh-CN"/>
        </w:rPr>
        <w:t>виса по технологии веб-клиента, через Интернет-портал «Школа-</w:t>
      </w:r>
      <w:proofErr w:type="spellStart"/>
      <w:r>
        <w:rPr>
          <w:color w:val="000000" w:themeColor="text1"/>
          <w:sz w:val="22"/>
          <w:szCs w:val="22"/>
          <w:lang w:eastAsia="zh-CN"/>
        </w:rPr>
        <w:t>всем</w:t>
      </w:r>
      <w:proofErr w:type="gramStart"/>
      <w:r>
        <w:rPr>
          <w:color w:val="000000" w:themeColor="text1"/>
          <w:sz w:val="22"/>
          <w:szCs w:val="22"/>
          <w:lang w:eastAsia="zh-CN"/>
        </w:rPr>
        <w:t>.р</w:t>
      </w:r>
      <w:proofErr w:type="gramEnd"/>
      <w:r>
        <w:rPr>
          <w:color w:val="000000" w:themeColor="text1"/>
          <w:sz w:val="22"/>
          <w:szCs w:val="22"/>
          <w:lang w:eastAsia="zh-CN"/>
        </w:rPr>
        <w:t>ф</w:t>
      </w:r>
      <w:proofErr w:type="spellEnd"/>
      <w:r>
        <w:rPr>
          <w:color w:val="000000" w:themeColor="text1"/>
          <w:sz w:val="22"/>
          <w:szCs w:val="22"/>
          <w:lang w:eastAsia="zh-CN"/>
        </w:rPr>
        <w:t>».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3.1.2. Произвести обучение уполномоченных лиц работе с Системой.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3.1.3. Обеспечить функционирование Системы, её техническое сопровождение при получении необходимых сведений, достаточных</w:t>
      </w:r>
      <w:r>
        <w:rPr>
          <w:color w:val="000000" w:themeColor="text1"/>
          <w:sz w:val="22"/>
          <w:szCs w:val="22"/>
          <w:lang w:eastAsia="zh-CN"/>
        </w:rPr>
        <w:t xml:space="preserve"> для выполнения взятых на себя обязательств.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3.2. Центр имеет право: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3.2.1. Самостоятельно определять порядок и способы исполнения взятых на себя обязательств.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3.2.2. Не приступать к работе, а начатую работу приостановить в случаях, когда нарушение  своих </w:t>
      </w:r>
      <w:r>
        <w:rPr>
          <w:color w:val="000000" w:themeColor="text1"/>
          <w:sz w:val="22"/>
          <w:szCs w:val="22"/>
          <w:lang w:eastAsia="zh-CN"/>
        </w:rPr>
        <w:t>обязанностей со стороны Управления/Отдела и (или) Образовательной организации по настоящему Соглашению препятствует его исполнению.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3.2.3. Отказаться от исполнения настоящего Соглашения в случае систематического нарушения со стороны Управления/Отдела и (ил</w:t>
      </w:r>
      <w:r>
        <w:rPr>
          <w:color w:val="000000" w:themeColor="text1"/>
          <w:sz w:val="22"/>
          <w:szCs w:val="22"/>
          <w:lang w:eastAsia="zh-CN"/>
        </w:rPr>
        <w:t>и) Образовательной организации взятых на себя обязательств.</w:t>
      </w:r>
    </w:p>
    <w:p w:rsidR="00A9724C" w:rsidRDefault="00F338AB">
      <w:pPr>
        <w:suppressAutoHyphens/>
        <w:ind w:firstLine="567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3.3. Управление/Отдел обязуется: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3.3.1. Предоставлять по письменному запросу Центра сведения и данные, в том числе статистические данные и отчеты о работе с Системой с соблюдением требований </w:t>
      </w:r>
      <w:r>
        <w:rPr>
          <w:color w:val="000000" w:themeColor="text1"/>
          <w:sz w:val="22"/>
          <w:szCs w:val="22"/>
          <w:lang w:eastAsia="zh-CN"/>
        </w:rPr>
        <w:t xml:space="preserve">действующего </w:t>
      </w:r>
      <w:r>
        <w:rPr>
          <w:color w:val="000000" w:themeColor="text1"/>
          <w:sz w:val="22"/>
          <w:szCs w:val="22"/>
          <w:lang w:eastAsia="zh-CN"/>
        </w:rPr>
        <w:lastRenderedPageBreak/>
        <w:t>законодательства, регламентирующих порядок обращения документов содержащих персональные данные.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3.3.2. Обеспечить своевременную и надлежащую работу уполномоченных лиц и сотрудников Управления/Отдела с Системой.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3.3.3. Обеспечить методическое с</w:t>
      </w:r>
      <w:r>
        <w:rPr>
          <w:color w:val="000000" w:themeColor="text1"/>
          <w:sz w:val="22"/>
          <w:szCs w:val="22"/>
          <w:lang w:eastAsia="zh-CN"/>
        </w:rPr>
        <w:t xml:space="preserve">опровождение и разработку методического комплекта материалов по внедрению Системы в деятельность Управления/Отдела и Образовательной организации. </w:t>
      </w:r>
    </w:p>
    <w:p w:rsidR="00A9724C" w:rsidRDefault="00F338AB">
      <w:pPr>
        <w:suppressAutoHyphens/>
        <w:ind w:firstLine="567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3.4. Управление/Отдел имеет право: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3.4.1. Отказаться от исполнения настоящего Соглашения в случае систематич</w:t>
      </w:r>
      <w:r>
        <w:rPr>
          <w:color w:val="000000" w:themeColor="text1"/>
          <w:sz w:val="22"/>
          <w:szCs w:val="22"/>
          <w:lang w:eastAsia="zh-CN"/>
        </w:rPr>
        <w:t>еского нарушения со стороны Центра взятых на себя обязательств.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3.4.2. Совместно с Центром организовывать и проводить мероприятия по распространению опыта работы по методике внедрения Системы.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3.5. Образовательная организация обязуется: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3.5.1. Обеспечить </w:t>
      </w:r>
      <w:r>
        <w:rPr>
          <w:color w:val="000000" w:themeColor="text1"/>
          <w:sz w:val="22"/>
          <w:szCs w:val="22"/>
          <w:lang w:eastAsia="zh-CN"/>
        </w:rPr>
        <w:t>внесение персональных данных в Систему согласно действующему законодательству Российской Федерации.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3.5.2. Предоставлять по письменному запросу Центра сведения и данные, в том числе статистические данные и отчеты о работе с Системой с соблюдением </w:t>
      </w:r>
      <w:r>
        <w:rPr>
          <w:color w:val="000000" w:themeColor="text1"/>
          <w:sz w:val="22"/>
          <w:szCs w:val="22"/>
          <w:lang w:eastAsia="zh-CN"/>
        </w:rPr>
        <w:t>требований действующего законодательства, регламентирующих порядок обращения документов содержащих персональные данные.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3.5.3.Обеспечить своевременную и надлежащую работу уполномоченных лиц и сотрудников Образовательной организации с Системой, обеспечить н</w:t>
      </w:r>
      <w:r>
        <w:rPr>
          <w:color w:val="000000" w:themeColor="text1"/>
          <w:sz w:val="22"/>
          <w:szCs w:val="22"/>
          <w:lang w:eastAsia="zh-CN"/>
        </w:rPr>
        <w:t>адлежащее заполнение и представление документов, необходимых для такой работы. Невыполнение данного обязательства, по обстоятельствам, выходящим за рамки полномочий Образовательной организации, не образует каких-либо правовых последствий для Сторон настоящ</w:t>
      </w:r>
      <w:r>
        <w:rPr>
          <w:color w:val="000000" w:themeColor="text1"/>
          <w:sz w:val="22"/>
          <w:szCs w:val="22"/>
          <w:lang w:eastAsia="zh-CN"/>
        </w:rPr>
        <w:t>его Соглашения.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3.6. Образовательная организация имеет право: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3.6.1. Отказаться от исполнения настоящего Соглашения в случае систематического нарушения со стороны Центра и (или) Управления/Отдела взятых на себя обязательств.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3.6.2. Вносить предложения в Уп</w:t>
      </w:r>
      <w:r>
        <w:rPr>
          <w:color w:val="000000" w:themeColor="text1"/>
          <w:sz w:val="22"/>
          <w:szCs w:val="22"/>
          <w:lang w:eastAsia="zh-CN"/>
        </w:rPr>
        <w:t xml:space="preserve">равление/Отдел по распространению опыта работы по внедрению Системы. 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3.7. Стороны принимают меры к обеспечению конфиденциальности и безопасности обрабатываемых </w:t>
      </w:r>
      <w:proofErr w:type="gramStart"/>
      <w:r>
        <w:rPr>
          <w:color w:val="000000" w:themeColor="text1"/>
          <w:sz w:val="22"/>
          <w:szCs w:val="22"/>
          <w:lang w:eastAsia="zh-CN"/>
        </w:rPr>
        <w:t>персональных</w:t>
      </w:r>
      <w:proofErr w:type="gramEnd"/>
      <w:r>
        <w:rPr>
          <w:color w:val="000000" w:themeColor="text1"/>
          <w:sz w:val="22"/>
          <w:szCs w:val="22"/>
          <w:lang w:eastAsia="zh-CN"/>
        </w:rPr>
        <w:t xml:space="preserve"> данных в Системе.</w:t>
      </w:r>
    </w:p>
    <w:p w:rsidR="00A9724C" w:rsidRDefault="00A9724C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widowControl w:val="0"/>
        <w:suppressAutoHyphens/>
        <w:jc w:val="center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4. Стоимость работы и порядок расчетов</w:t>
      </w:r>
    </w:p>
    <w:p w:rsidR="00A9724C" w:rsidRDefault="00A9724C">
      <w:pPr>
        <w:widowControl w:val="0"/>
        <w:suppressAutoHyphens/>
        <w:ind w:firstLine="567"/>
        <w:jc w:val="center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widowControl w:val="0"/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4.1. Взаимоотношения Ст</w:t>
      </w:r>
      <w:r>
        <w:rPr>
          <w:color w:val="000000" w:themeColor="text1"/>
          <w:sz w:val="22"/>
          <w:szCs w:val="22"/>
          <w:lang w:eastAsia="zh-CN"/>
        </w:rPr>
        <w:t>орон настоящего Соглашения носят безвозмездный характер и строятся на взаимовыгодном сотрудничестве и надлежащем исполнении взятых на себя обязательств.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4.2. Выполнение иных работ, не предусмотренных настоящим Соглашением, осуществляется посредствам заключ</w:t>
      </w:r>
      <w:r>
        <w:rPr>
          <w:color w:val="000000" w:themeColor="text1"/>
          <w:sz w:val="22"/>
          <w:szCs w:val="22"/>
          <w:lang w:eastAsia="zh-CN"/>
        </w:rPr>
        <w:t>ения дополнительных договоров между Сторонами.</w:t>
      </w:r>
    </w:p>
    <w:p w:rsidR="00A9724C" w:rsidRDefault="00A9724C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5. Интеллектуальная собственность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5.1. Право авторства, иные исключительные права на Систему определяются </w:t>
      </w:r>
      <w:proofErr w:type="gramStart"/>
      <w:r>
        <w:rPr>
          <w:color w:val="000000" w:themeColor="text1"/>
          <w:sz w:val="22"/>
          <w:szCs w:val="22"/>
          <w:lang w:eastAsia="zh-CN"/>
        </w:rPr>
        <w:t>согласно</w:t>
      </w:r>
      <w:proofErr w:type="gramEnd"/>
      <w:r>
        <w:rPr>
          <w:color w:val="000000" w:themeColor="text1"/>
          <w:sz w:val="22"/>
          <w:szCs w:val="22"/>
          <w:lang w:eastAsia="zh-CN"/>
        </w:rPr>
        <w:t xml:space="preserve"> действующего законодательства.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5.2. Право авторства на методический комплект, разработанный в ходе внедрения, принадлежит Центру. Стороны настоящего Соглашения, по обоюдному согласию, имеют право использовать методический комплект, разработанный в ходе внедрения Системы в целях, </w:t>
      </w:r>
      <w:r>
        <w:rPr>
          <w:color w:val="000000" w:themeColor="text1"/>
          <w:sz w:val="22"/>
          <w:szCs w:val="22"/>
          <w:lang w:eastAsia="zh-CN"/>
        </w:rPr>
        <w:br/>
        <w:t>не про</w:t>
      </w:r>
      <w:r>
        <w:rPr>
          <w:color w:val="000000" w:themeColor="text1"/>
          <w:sz w:val="22"/>
          <w:szCs w:val="22"/>
          <w:lang w:eastAsia="zh-CN"/>
        </w:rPr>
        <w:t>тиворечащих настоящему Соглашению.</w:t>
      </w:r>
    </w:p>
    <w:p w:rsidR="00A9724C" w:rsidRDefault="00A9724C">
      <w:pPr>
        <w:suppressAutoHyphens/>
        <w:ind w:firstLine="567"/>
        <w:jc w:val="both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6. Ответственность Сторон. Разрешение споров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6.1. Стороны несут ответственность в соответствии с действующим законодательством Российской Федерации.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6.2. Все споры, возникающие между Сторонами при исполнении настоящего С</w:t>
      </w:r>
      <w:r>
        <w:rPr>
          <w:color w:val="000000" w:themeColor="text1"/>
          <w:sz w:val="22"/>
          <w:szCs w:val="22"/>
          <w:lang w:eastAsia="zh-CN"/>
        </w:rPr>
        <w:t xml:space="preserve">оглашения, разрешаются путем переговоров, а в случае </w:t>
      </w:r>
      <w:proofErr w:type="spellStart"/>
      <w:r>
        <w:rPr>
          <w:color w:val="000000" w:themeColor="text1"/>
          <w:sz w:val="22"/>
          <w:szCs w:val="22"/>
          <w:lang w:eastAsia="zh-CN"/>
        </w:rPr>
        <w:t>недостижения</w:t>
      </w:r>
      <w:proofErr w:type="spellEnd"/>
      <w:r>
        <w:rPr>
          <w:color w:val="000000" w:themeColor="text1"/>
          <w:sz w:val="22"/>
          <w:szCs w:val="22"/>
          <w:lang w:eastAsia="zh-CN"/>
        </w:rPr>
        <w:t xml:space="preserve"> согласия между Сторонами спор передается на рассмотрение суда согласно подведомственности и подсудности, установленным законодательством Российской Федерации.</w:t>
      </w:r>
    </w:p>
    <w:p w:rsidR="00A9724C" w:rsidRDefault="00F338AB">
      <w:pPr>
        <w:suppressAutoHyphens/>
        <w:ind w:firstLine="567"/>
        <w:jc w:val="both"/>
        <w:rPr>
          <w:b/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 xml:space="preserve">6.3. При невозможности полного </w:t>
      </w:r>
      <w:r>
        <w:rPr>
          <w:color w:val="000000" w:themeColor="text1"/>
          <w:sz w:val="22"/>
          <w:szCs w:val="22"/>
          <w:lang w:eastAsia="zh-CN"/>
        </w:rPr>
        <w:t xml:space="preserve">или частичного выполнения любой из Сторон обязательств по настоящему Соглашению вследствие обстоятельств непреодолимой силы срок исполнения </w:t>
      </w:r>
      <w:r>
        <w:rPr>
          <w:color w:val="000000" w:themeColor="text1"/>
          <w:sz w:val="22"/>
          <w:szCs w:val="22"/>
          <w:lang w:eastAsia="zh-CN"/>
        </w:rPr>
        <w:lastRenderedPageBreak/>
        <w:t>обязательств отодвигается на период времени, в течение которого будут действовать такие обстоятельства.</w:t>
      </w:r>
    </w:p>
    <w:p w:rsidR="00A9724C" w:rsidRDefault="00A9724C">
      <w:pPr>
        <w:suppressAutoHyphens/>
        <w:ind w:firstLine="567"/>
        <w:jc w:val="center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7. Прочие у</w:t>
      </w:r>
      <w:r>
        <w:rPr>
          <w:b/>
          <w:color w:val="000000" w:themeColor="text1"/>
          <w:sz w:val="22"/>
          <w:szCs w:val="22"/>
          <w:lang w:eastAsia="zh-CN"/>
        </w:rPr>
        <w:t>словия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7.1. Настоящее Соглашение вступает в силу с момента его подписания Сторонами. Соглашение заключено на неопределенный срок.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7.2. Все приложения, дополнения и изменения к настоящему Соглашению действительны в том случае, если они составлены в письменн</w:t>
      </w:r>
      <w:r>
        <w:rPr>
          <w:color w:val="000000" w:themeColor="text1"/>
          <w:sz w:val="22"/>
          <w:szCs w:val="22"/>
          <w:lang w:eastAsia="zh-CN"/>
        </w:rPr>
        <w:t>ой форме и подписаны обеими Сторонами и являются его неотъемлемыми частями.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7.3. Вопросы, не урегулированные настоящим Соглашением, регулируются действующим законодательством Российской Федерации.</w:t>
      </w:r>
    </w:p>
    <w:p w:rsidR="00A9724C" w:rsidRDefault="00F338AB">
      <w:pPr>
        <w:suppressAutoHyphen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7.4. Если в ходе выполнения своих обязательств по настоящем</w:t>
      </w:r>
      <w:r>
        <w:rPr>
          <w:color w:val="000000" w:themeColor="text1"/>
          <w:sz w:val="22"/>
          <w:szCs w:val="22"/>
          <w:lang w:eastAsia="zh-CN"/>
        </w:rPr>
        <w:t>у Соглашению одной из Сторон были получены сведения, являющиеся коммерческой тайной другой стороны, то получившая такую информацию Сторона не вправе сообщать ее третьим лицам без согласия другой Стороны.</w:t>
      </w:r>
    </w:p>
    <w:p w:rsidR="00A9724C" w:rsidRDefault="00F338AB">
      <w:pPr>
        <w:suppressAutoHyphens/>
        <w:ind w:firstLine="567"/>
        <w:jc w:val="both"/>
        <w:rPr>
          <w:b/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lang w:eastAsia="zh-CN"/>
        </w:rPr>
        <w:t>7.5. Настоящее Соглашение составлено в 3-х экземпляр</w:t>
      </w:r>
      <w:r>
        <w:rPr>
          <w:color w:val="000000" w:themeColor="text1"/>
          <w:sz w:val="22"/>
          <w:szCs w:val="22"/>
          <w:lang w:eastAsia="zh-CN"/>
        </w:rPr>
        <w:t>ах по одному для каждой из Сторон. Все экземпляры имеют одинаковую юридическую силу.</w:t>
      </w:r>
    </w:p>
    <w:p w:rsidR="00A9724C" w:rsidRDefault="00A9724C">
      <w:pPr>
        <w:suppressAutoHyphens/>
        <w:ind w:firstLine="567"/>
        <w:jc w:val="center"/>
        <w:rPr>
          <w:b/>
          <w:color w:val="000000" w:themeColor="text1"/>
          <w:sz w:val="22"/>
          <w:szCs w:val="22"/>
          <w:lang w:eastAsia="zh-CN"/>
        </w:rPr>
      </w:pPr>
    </w:p>
    <w:p w:rsidR="00A9724C" w:rsidRDefault="00F338AB">
      <w:pPr>
        <w:suppressAutoHyphens/>
        <w:jc w:val="center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>8. Реквизиты и подписи Сторон</w:t>
      </w:r>
    </w:p>
    <w:p w:rsidR="00A9724C" w:rsidRDefault="00A9724C">
      <w:pPr>
        <w:suppressAutoHyphens/>
        <w:jc w:val="center"/>
        <w:rPr>
          <w:color w:val="000000" w:themeColor="text1"/>
          <w:sz w:val="22"/>
          <w:szCs w:val="22"/>
          <w:lang w:eastAsia="zh-CN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5068"/>
        <w:gridCol w:w="6488"/>
      </w:tblGrid>
      <w:tr w:rsidR="00A9724C">
        <w:tc>
          <w:tcPr>
            <w:tcW w:w="5068" w:type="dxa"/>
            <w:shd w:val="clear" w:color="auto" w:fill="auto"/>
          </w:tcPr>
          <w:p w:rsidR="00A9724C" w:rsidRDefault="00F338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«Центр»</w:t>
            </w:r>
          </w:p>
          <w:p w:rsidR="00A9724C" w:rsidRDefault="00A9724C">
            <w:pPr>
              <w:jc w:val="center"/>
              <w:rPr>
                <w:b/>
                <w:color w:val="FF0000"/>
              </w:rPr>
            </w:pP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Бюджетное учреждение </w:t>
            </w:r>
            <w:proofErr w:type="gramStart"/>
            <w:r>
              <w:rPr>
                <w:color w:val="000000"/>
                <w:sz w:val="22"/>
                <w:szCs w:val="22"/>
              </w:rPr>
              <w:t>Орловской</w:t>
            </w:r>
            <w:proofErr w:type="gramEnd"/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области «Региональный центр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оценки качества образования»</w:t>
            </w:r>
          </w:p>
          <w:p w:rsidR="00A9724C" w:rsidRDefault="00A9724C">
            <w:pPr>
              <w:rPr>
                <w:color w:val="000000"/>
                <w:sz w:val="22"/>
                <w:szCs w:val="22"/>
              </w:rPr>
            </w:pP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Юридический адрес: 302020, Россия, 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рел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Полесская</w:t>
            </w:r>
            <w:proofErr w:type="spellEnd"/>
            <w:r>
              <w:rPr>
                <w:color w:val="000000"/>
                <w:sz w:val="22"/>
                <w:szCs w:val="22"/>
              </w:rPr>
              <w:t>, д.24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1075753001059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5753041894 / КПП 575301001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УФК по Орловской области (ОРЦОКО </w:t>
            </w:r>
            <w:proofErr w:type="gramEnd"/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 20546Э47550)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 40601810800001000001 отделение Орел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045402001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 00000000000000000130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Контактный телефон: 73-17-79</w:t>
            </w:r>
          </w:p>
          <w:p w:rsidR="00A9724C" w:rsidRDefault="00F33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Факс: 73-17-79</w:t>
            </w:r>
          </w:p>
          <w:p w:rsidR="00A9724C" w:rsidRDefault="00A9724C">
            <w:pPr>
              <w:rPr>
                <w:color w:val="000000"/>
              </w:rPr>
            </w:pPr>
          </w:p>
          <w:p w:rsidR="00A9724C" w:rsidRDefault="00F338AB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Дир</w:t>
            </w:r>
            <w:r>
              <w:rPr>
                <w:color w:val="000000"/>
                <w:sz w:val="22"/>
                <w:szCs w:val="22"/>
              </w:rPr>
              <w:t>ектор</w:t>
            </w:r>
          </w:p>
          <w:p w:rsidR="00A9724C" w:rsidRDefault="00F338AB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______________________ А. И. Карлов</w:t>
            </w:r>
          </w:p>
          <w:p w:rsidR="00A9724C" w:rsidRDefault="00F338AB">
            <w:pPr>
              <w:rPr>
                <w:color w:val="FF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87" w:type="dxa"/>
            <w:shd w:val="clear" w:color="auto" w:fill="auto"/>
          </w:tcPr>
          <w:p w:rsidR="00A9724C" w:rsidRDefault="00F338AB">
            <w:pPr>
              <w:ind w:left="3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«Управление/Отдел»</w:t>
            </w:r>
          </w:p>
          <w:p w:rsidR="00A9724C" w:rsidRDefault="00A9724C">
            <w:pPr>
              <w:ind w:left="319"/>
              <w:jc w:val="center"/>
              <w:rPr>
                <w:b/>
                <w:color w:val="000000" w:themeColor="text1"/>
              </w:rPr>
            </w:pP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Наименование: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ИНН / КПП 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ОГРН 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тел.: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факс:</w:t>
            </w:r>
          </w:p>
          <w:p w:rsidR="00A9724C" w:rsidRDefault="00A9724C">
            <w:pPr>
              <w:ind w:left="319"/>
              <w:rPr>
                <w:color w:val="000000" w:themeColor="text1"/>
              </w:rPr>
            </w:pPr>
          </w:p>
          <w:p w:rsidR="00A9724C" w:rsidRDefault="00A9724C">
            <w:pPr>
              <w:ind w:left="319"/>
              <w:rPr>
                <w:color w:val="000000" w:themeColor="text1"/>
              </w:rPr>
            </w:pPr>
          </w:p>
          <w:p w:rsidR="00A9724C" w:rsidRDefault="00A9724C">
            <w:pPr>
              <w:ind w:left="319"/>
              <w:rPr>
                <w:color w:val="000000" w:themeColor="text1"/>
              </w:rPr>
            </w:pPr>
          </w:p>
          <w:p w:rsidR="00A9724C" w:rsidRDefault="00A9724C">
            <w:pPr>
              <w:ind w:left="319"/>
              <w:rPr>
                <w:color w:val="000000" w:themeColor="text1"/>
              </w:rPr>
            </w:pPr>
          </w:p>
          <w:p w:rsidR="00A9724C" w:rsidRDefault="00A9724C">
            <w:pPr>
              <w:ind w:left="319"/>
              <w:rPr>
                <w:color w:val="000000" w:themeColor="text1"/>
              </w:rPr>
            </w:pP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Должность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________________  И. О. Фамилия</w:t>
            </w:r>
          </w:p>
          <w:p w:rsidR="00A9724C" w:rsidRDefault="00F338AB">
            <w:pPr>
              <w:ind w:left="3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м.п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9724C">
        <w:tc>
          <w:tcPr>
            <w:tcW w:w="5068" w:type="dxa"/>
            <w:shd w:val="clear" w:color="auto" w:fill="auto"/>
          </w:tcPr>
          <w:p w:rsidR="00A9724C" w:rsidRDefault="00A9724C">
            <w:pPr>
              <w:jc w:val="center"/>
              <w:rPr>
                <w:b/>
                <w:color w:val="000000" w:themeColor="text1"/>
              </w:rPr>
            </w:pPr>
          </w:p>
          <w:p w:rsidR="00A9724C" w:rsidRDefault="00F338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«Образовательная организация»</w:t>
            </w:r>
          </w:p>
          <w:p w:rsidR="00A9724C" w:rsidRDefault="00A9724C">
            <w:pPr>
              <w:jc w:val="center"/>
              <w:rPr>
                <w:b/>
                <w:color w:val="000000" w:themeColor="text1"/>
              </w:rPr>
            </w:pPr>
          </w:p>
          <w:p w:rsidR="00A9724C" w:rsidRDefault="00A9724C">
            <w:pPr>
              <w:rPr>
                <w:b/>
                <w:sz w:val="22"/>
                <w:szCs w:val="22"/>
              </w:rPr>
            </w:pPr>
          </w:p>
          <w:p w:rsidR="00F338AB" w:rsidRDefault="00F338AB">
            <w:pPr>
              <w:widowControl w:val="0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Место нахождения: </w:t>
            </w:r>
          </w:p>
          <w:p w:rsidR="00A9724C" w:rsidRDefault="00F338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                    </w:t>
            </w:r>
            <w:r>
              <w:rPr>
                <w:sz w:val="22"/>
                <w:szCs w:val="22"/>
              </w:rPr>
              <w:t xml:space="preserve"> / КПП               </w:t>
            </w:r>
            <w:r>
              <w:rPr>
                <w:sz w:val="22"/>
                <w:szCs w:val="22"/>
              </w:rPr>
              <w:t xml:space="preserve"> 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 </w:t>
            </w:r>
          </w:p>
          <w:p w:rsidR="00A9724C" w:rsidRDefault="00F338AB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г. Орел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ОГРН </w:t>
            </w:r>
          </w:p>
          <w:p w:rsidR="00A9724C" w:rsidRDefault="00A9724C">
            <w:pPr>
              <w:rPr>
                <w:color w:val="000000" w:themeColor="text1"/>
                <w:sz w:val="22"/>
                <w:szCs w:val="22"/>
              </w:rPr>
            </w:pPr>
          </w:p>
          <w:p w:rsidR="00A9724C" w:rsidRDefault="00A9724C">
            <w:pPr>
              <w:rPr>
                <w:sz w:val="22"/>
                <w:szCs w:val="22"/>
              </w:rPr>
            </w:pP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9724C" w:rsidRDefault="00F3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_________________ </w:t>
            </w:r>
            <w:r>
              <w:rPr>
                <w:sz w:val="22"/>
                <w:szCs w:val="22"/>
              </w:rPr>
              <w:t xml:space="preserve"> </w:t>
            </w:r>
          </w:p>
          <w:p w:rsidR="00A9724C" w:rsidRDefault="00F338AB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м.п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.         </w:t>
            </w:r>
          </w:p>
        </w:tc>
        <w:tc>
          <w:tcPr>
            <w:tcW w:w="6487" w:type="dxa"/>
            <w:shd w:val="clear" w:color="auto" w:fill="auto"/>
          </w:tcPr>
          <w:p w:rsidR="00A9724C" w:rsidRDefault="00A9724C">
            <w:pPr>
              <w:jc w:val="center"/>
              <w:rPr>
                <w:color w:val="000000" w:themeColor="text1"/>
              </w:rPr>
            </w:pPr>
          </w:p>
        </w:tc>
      </w:tr>
    </w:tbl>
    <w:p w:rsidR="00A9724C" w:rsidRDefault="00A9724C"/>
    <w:sectPr w:rsidR="00A9724C">
      <w:pgSz w:w="11906" w:h="16838"/>
      <w:pgMar w:top="993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C"/>
    <w:rsid w:val="00A9724C"/>
    <w:rsid w:val="00F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B6D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8B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B6D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8B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Алехина</dc:creator>
  <dc:description/>
  <cp:lastModifiedBy>Григорий Орехов</cp:lastModifiedBy>
  <cp:revision>9</cp:revision>
  <cp:lastPrinted>2014-11-18T13:53:00Z</cp:lastPrinted>
  <dcterms:created xsi:type="dcterms:W3CDTF">2017-04-18T08:05:00Z</dcterms:created>
  <dcterms:modified xsi:type="dcterms:W3CDTF">2017-05-17T05:41:00Z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